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65FD" w14:textId="77777777" w:rsidR="00000000" w:rsidRDefault="00000000"/>
    <w:p w14:paraId="4A38DC9C" w14:textId="1EB58AB6" w:rsidR="00CD02C2" w:rsidRDefault="00CD02C2" w:rsidP="00CD02C2">
      <w:pPr>
        <w:rPr>
          <w:b/>
          <w:bCs/>
          <w:sz w:val="22"/>
          <w:szCs w:val="22"/>
        </w:rPr>
      </w:pPr>
      <w:r>
        <w:rPr>
          <w:b/>
          <w:bCs/>
          <w:sz w:val="22"/>
          <w:szCs w:val="22"/>
        </w:rPr>
        <w:t xml:space="preserve">Innspill </w:t>
      </w:r>
      <w:r w:rsidR="00304DFF">
        <w:rPr>
          <w:b/>
          <w:bCs/>
          <w:sz w:val="22"/>
          <w:szCs w:val="22"/>
        </w:rPr>
        <w:t>–</w:t>
      </w:r>
      <w:r>
        <w:rPr>
          <w:b/>
          <w:bCs/>
          <w:sz w:val="22"/>
          <w:szCs w:val="22"/>
        </w:rPr>
        <w:t xml:space="preserve"> Næringskomiteen</w:t>
      </w:r>
      <w:r w:rsidR="00304DFF">
        <w:rPr>
          <w:b/>
          <w:bCs/>
          <w:sz w:val="22"/>
          <w:szCs w:val="22"/>
        </w:rPr>
        <w:t xml:space="preserve">, </w:t>
      </w:r>
      <w:r w:rsidR="00304DFF">
        <w:rPr>
          <w:b/>
          <w:bCs/>
          <w:sz w:val="22"/>
          <w:szCs w:val="22"/>
        </w:rPr>
        <w:tab/>
      </w:r>
      <w:r w:rsidR="00304DFF">
        <w:rPr>
          <w:b/>
          <w:bCs/>
          <w:sz w:val="22"/>
          <w:szCs w:val="22"/>
        </w:rPr>
        <w:tab/>
      </w:r>
      <w:r w:rsidR="00304DFF">
        <w:rPr>
          <w:b/>
          <w:bCs/>
          <w:sz w:val="22"/>
          <w:szCs w:val="22"/>
        </w:rPr>
        <w:tab/>
      </w:r>
      <w:r w:rsidR="00304DFF">
        <w:rPr>
          <w:b/>
          <w:bCs/>
          <w:sz w:val="22"/>
          <w:szCs w:val="22"/>
        </w:rPr>
        <w:tab/>
      </w:r>
      <w:r w:rsidR="00304DFF">
        <w:rPr>
          <w:b/>
          <w:bCs/>
          <w:sz w:val="22"/>
          <w:szCs w:val="22"/>
        </w:rPr>
        <w:tab/>
      </w:r>
      <w:r w:rsidR="00304DFF">
        <w:rPr>
          <w:b/>
          <w:bCs/>
          <w:sz w:val="22"/>
          <w:szCs w:val="22"/>
        </w:rPr>
        <w:tab/>
      </w:r>
      <w:r w:rsidR="00304DFF">
        <w:rPr>
          <w:b/>
          <w:bCs/>
          <w:sz w:val="22"/>
          <w:szCs w:val="22"/>
        </w:rPr>
        <w:tab/>
      </w:r>
      <w:r w:rsidR="00304DFF">
        <w:rPr>
          <w:b/>
          <w:bCs/>
          <w:sz w:val="22"/>
          <w:szCs w:val="22"/>
        </w:rPr>
        <w:tab/>
      </w:r>
      <w:r w:rsidR="00304DFF">
        <w:rPr>
          <w:b/>
          <w:bCs/>
          <w:sz w:val="22"/>
          <w:szCs w:val="22"/>
        </w:rPr>
        <w:tab/>
      </w:r>
      <w:r w:rsidR="00304DFF" w:rsidRPr="00304DFF">
        <w:rPr>
          <w:sz w:val="22"/>
          <w:szCs w:val="22"/>
        </w:rPr>
        <w:t>10.10.2023</w:t>
      </w:r>
    </w:p>
    <w:p w14:paraId="3CB1445E" w14:textId="77777777" w:rsidR="00CD02C2" w:rsidRDefault="00CD02C2" w:rsidP="00CD02C2">
      <w:pPr>
        <w:rPr>
          <w:b/>
          <w:bCs/>
          <w:sz w:val="22"/>
          <w:szCs w:val="22"/>
        </w:rPr>
      </w:pPr>
    </w:p>
    <w:p w14:paraId="4458E61F" w14:textId="027424B7" w:rsidR="00CD02C2" w:rsidRPr="00CD02C2" w:rsidRDefault="00CD02C2" w:rsidP="00CD02C2">
      <w:pPr>
        <w:rPr>
          <w:b/>
          <w:bCs/>
          <w:sz w:val="22"/>
          <w:szCs w:val="22"/>
        </w:rPr>
      </w:pPr>
      <w:r w:rsidRPr="00CD02C2">
        <w:rPr>
          <w:b/>
          <w:bCs/>
          <w:sz w:val="22"/>
          <w:szCs w:val="22"/>
        </w:rPr>
        <w:t>Må oppfylle klimaavtalene med norsk biogass</w:t>
      </w:r>
    </w:p>
    <w:p w14:paraId="2181168B" w14:textId="687829D9" w:rsidR="00CD02C2" w:rsidRPr="00CD02C2" w:rsidRDefault="00CD02C2" w:rsidP="00CD02C2">
      <w:pPr>
        <w:rPr>
          <w:sz w:val="22"/>
          <w:szCs w:val="22"/>
        </w:rPr>
      </w:pPr>
      <w:r w:rsidRPr="00CD02C2">
        <w:rPr>
          <w:sz w:val="22"/>
          <w:szCs w:val="22"/>
        </w:rPr>
        <w:t>Hvorfor skal vi oppfylle klimaforpliktelsene våre med importert biodrivstoff, når vi kan nå det samme målet med biogass som lages her i landet?</w:t>
      </w:r>
    </w:p>
    <w:p w14:paraId="704A9FD2" w14:textId="77777777" w:rsidR="00CD02C2" w:rsidRPr="00CD02C2" w:rsidRDefault="00CD02C2" w:rsidP="00CD02C2">
      <w:pPr>
        <w:rPr>
          <w:sz w:val="22"/>
          <w:szCs w:val="22"/>
        </w:rPr>
      </w:pPr>
    </w:p>
    <w:p w14:paraId="675876C7" w14:textId="7966E4F7" w:rsidR="00CD02C2" w:rsidRPr="00CD02C2" w:rsidRDefault="00CD02C2" w:rsidP="00CD02C2">
      <w:pPr>
        <w:rPr>
          <w:sz w:val="22"/>
          <w:szCs w:val="22"/>
        </w:rPr>
      </w:pPr>
      <w:r w:rsidRPr="00CD02C2">
        <w:rPr>
          <w:sz w:val="22"/>
          <w:szCs w:val="22"/>
        </w:rPr>
        <w:t>Regjeringen har satt i gang Grønt industriløft for å få i gang klimaomstillingen i næringslivet.</w:t>
      </w:r>
      <w:r>
        <w:rPr>
          <w:sz w:val="22"/>
          <w:szCs w:val="22"/>
        </w:rPr>
        <w:t xml:space="preserve"> </w:t>
      </w:r>
      <w:r w:rsidRPr="00CD02C2">
        <w:rPr>
          <w:sz w:val="22"/>
          <w:szCs w:val="22"/>
        </w:rPr>
        <w:t>Målet med denne satsingen er «å gjøre Norge til en grønn industri- og energigigant basert på våre naturressurser, kunnskapsmiljøer, industrielle kompetanse og historiske fortrinn».</w:t>
      </w:r>
      <w:r>
        <w:rPr>
          <w:sz w:val="22"/>
          <w:szCs w:val="22"/>
        </w:rPr>
        <w:t xml:space="preserve"> </w:t>
      </w:r>
      <w:r w:rsidRPr="00CD02C2">
        <w:rPr>
          <w:sz w:val="22"/>
          <w:szCs w:val="22"/>
        </w:rPr>
        <w:t>Dette er en satsing vi stiller oss fullt og helt bak.</w:t>
      </w:r>
      <w:r>
        <w:rPr>
          <w:sz w:val="22"/>
          <w:szCs w:val="22"/>
        </w:rPr>
        <w:t xml:space="preserve"> </w:t>
      </w:r>
      <w:r w:rsidRPr="00CD02C2">
        <w:rPr>
          <w:sz w:val="22"/>
          <w:szCs w:val="22"/>
        </w:rPr>
        <w:t>Derfor er det svært underlig at redningen for våre klimaforpliktelser fram mot 2030 er å importere store mengder biodrivstoff fra andre land for innblanding i bensin og diesel til biler, fly og skip i Norge.</w:t>
      </w:r>
    </w:p>
    <w:p w14:paraId="47D1A8B4" w14:textId="77777777" w:rsidR="00CD02C2" w:rsidRPr="00CD02C2" w:rsidRDefault="00CD02C2" w:rsidP="00CD02C2">
      <w:pPr>
        <w:rPr>
          <w:sz w:val="22"/>
          <w:szCs w:val="22"/>
        </w:rPr>
      </w:pPr>
    </w:p>
    <w:p w14:paraId="5141D742" w14:textId="77777777" w:rsidR="00CD02C2" w:rsidRPr="00CD02C2" w:rsidRDefault="00CD02C2" w:rsidP="00CD02C2">
      <w:pPr>
        <w:rPr>
          <w:sz w:val="22"/>
          <w:szCs w:val="22"/>
        </w:rPr>
      </w:pPr>
      <w:r w:rsidRPr="00CD02C2">
        <w:rPr>
          <w:sz w:val="22"/>
          <w:szCs w:val="22"/>
        </w:rPr>
        <w:t>Norge er storforbruker av biodrivstoff, selv om vi omtrent ikke produserer noe selv. Det gjør at vi – i Norge – allerede importerer åtte til ti prosent av verdens produksjon av biodrivstoff. Frem til 2030 kan vi med regjeringens planer komme opp i en andel på godt over ti prosent av verdens bioressurser. Når vi som utgjør 0,07 prosent av verdens befolkning, allerede bruker nærmere ti prosent av verdens ressurser, og vil øke det uttaket vesentlig, er det ikke bare underlig; en må også kunne stille spørsmål om de storstilte planene om bruk av importert biodrivstoff i Norge er direkte umoralske?</w:t>
      </w:r>
    </w:p>
    <w:p w14:paraId="65EBDEF5" w14:textId="77777777" w:rsidR="00CD02C2" w:rsidRPr="00CD02C2" w:rsidRDefault="00CD02C2" w:rsidP="00CD02C2">
      <w:pPr>
        <w:rPr>
          <w:sz w:val="22"/>
          <w:szCs w:val="22"/>
        </w:rPr>
      </w:pPr>
    </w:p>
    <w:p w14:paraId="26910102" w14:textId="3AC3CB16" w:rsidR="00CD02C2" w:rsidRPr="00CD02C2" w:rsidRDefault="00CD02C2" w:rsidP="00CD02C2">
      <w:pPr>
        <w:rPr>
          <w:b/>
          <w:bCs/>
          <w:sz w:val="22"/>
          <w:szCs w:val="22"/>
        </w:rPr>
      </w:pPr>
      <w:r w:rsidRPr="00CD02C2">
        <w:rPr>
          <w:b/>
          <w:bCs/>
          <w:sz w:val="22"/>
          <w:szCs w:val="22"/>
        </w:rPr>
        <w:t>Avfall er også en ressurs</w:t>
      </w:r>
    </w:p>
    <w:p w14:paraId="23E07050" w14:textId="77777777" w:rsidR="00CD02C2" w:rsidRPr="00CD02C2" w:rsidRDefault="00CD02C2" w:rsidP="00CD02C2">
      <w:pPr>
        <w:rPr>
          <w:sz w:val="22"/>
          <w:szCs w:val="22"/>
        </w:rPr>
      </w:pPr>
      <w:r w:rsidRPr="00CD02C2">
        <w:rPr>
          <w:sz w:val="22"/>
          <w:szCs w:val="22"/>
        </w:rPr>
        <w:t>Målet for Norge er å bygge en grønn industri- og energigigant basert på norske naturressurser. Ser vi på ressursene med sirkulærøkonomiske øyne, har vi ikke bare jomfruelig skog som ressurs, men også det som vanligvis omtales som avfall, men som for oss i biogassbransjen er råstoff for energi og flere andre produkter.</w:t>
      </w:r>
    </w:p>
    <w:p w14:paraId="74416495" w14:textId="77777777" w:rsidR="00CD02C2" w:rsidRPr="00CD02C2" w:rsidRDefault="00CD02C2" w:rsidP="00CD02C2">
      <w:pPr>
        <w:rPr>
          <w:sz w:val="22"/>
          <w:szCs w:val="22"/>
        </w:rPr>
      </w:pPr>
    </w:p>
    <w:p w14:paraId="0BBC98D3" w14:textId="77777777" w:rsidR="00CD02C2" w:rsidRPr="00CD02C2" w:rsidRDefault="00CD02C2" w:rsidP="00CD02C2">
      <w:pPr>
        <w:rPr>
          <w:sz w:val="22"/>
          <w:szCs w:val="22"/>
        </w:rPr>
      </w:pPr>
      <w:r w:rsidRPr="00CD02C2">
        <w:rPr>
          <w:sz w:val="22"/>
          <w:szCs w:val="22"/>
        </w:rPr>
        <w:t>Dette er naturressurser som allerede er produsert, men som ikke brukes eller er til overs. Det gjelder mat som ikke blir spist eller ikke kan spises, kloakk fra mennesker, dyr (som riktignok blir brukt som gjødsel) og ikke minst fisk, og annet organisk avfall med ulik opprinnelse. Dette er ressurser som i liten grad utnyttes i dag.</w:t>
      </w:r>
    </w:p>
    <w:p w14:paraId="5D3F9152" w14:textId="77777777" w:rsidR="00CD02C2" w:rsidRPr="00CD02C2" w:rsidRDefault="00CD02C2" w:rsidP="00CD02C2">
      <w:pPr>
        <w:rPr>
          <w:sz w:val="22"/>
          <w:szCs w:val="22"/>
        </w:rPr>
      </w:pPr>
    </w:p>
    <w:p w14:paraId="6AB6D93E" w14:textId="77777777" w:rsidR="00CD02C2" w:rsidRPr="00CD02C2" w:rsidRDefault="00CD02C2" w:rsidP="00CD02C2">
      <w:pPr>
        <w:rPr>
          <w:sz w:val="22"/>
          <w:szCs w:val="22"/>
        </w:rPr>
      </w:pPr>
      <w:r w:rsidRPr="00CD02C2">
        <w:rPr>
          <w:sz w:val="22"/>
          <w:szCs w:val="22"/>
        </w:rPr>
        <w:t>Fra 1.1.23 ble det innført tvungen innsamling av matavfall i Norge, men kapasiteten til å håndtere avfallet er ikke stor nok, slik at deler av det innsamlede matavfallet eksporteres til andre land. Vi har også satt som mål at 30 prosent av husdyrgjødsla skal brukes til produksjon av biogass. I dag er volumet 1,3 prosent.</w:t>
      </w:r>
    </w:p>
    <w:p w14:paraId="03B9134B" w14:textId="77777777" w:rsidR="00CD02C2" w:rsidRPr="00CD02C2" w:rsidRDefault="00CD02C2" w:rsidP="00CD02C2">
      <w:pPr>
        <w:rPr>
          <w:sz w:val="22"/>
          <w:szCs w:val="22"/>
        </w:rPr>
      </w:pPr>
    </w:p>
    <w:p w14:paraId="6E25C9B5" w14:textId="77777777" w:rsidR="00CD02C2" w:rsidRPr="00CD02C2" w:rsidRDefault="00CD02C2" w:rsidP="00CD02C2">
      <w:pPr>
        <w:rPr>
          <w:sz w:val="22"/>
          <w:szCs w:val="22"/>
        </w:rPr>
      </w:pPr>
      <w:r w:rsidRPr="00CD02C2">
        <w:rPr>
          <w:sz w:val="22"/>
          <w:szCs w:val="22"/>
        </w:rPr>
        <w:t>Fiskeslam kan bli et svært viktig råstoff for produksjon av biogass. I dag samles det opp fra anlegg på land og noen få anlegg i sjøen, og går videre til Danmark for produksjon av biogass der. Det slammet som ikke samles opp, går rett i sjøen, og det gjelder det aller meste.</w:t>
      </w:r>
    </w:p>
    <w:p w14:paraId="3AB81E10" w14:textId="77777777" w:rsidR="00CD02C2" w:rsidRPr="00CD02C2" w:rsidRDefault="00CD02C2" w:rsidP="00CD02C2">
      <w:pPr>
        <w:rPr>
          <w:sz w:val="22"/>
          <w:szCs w:val="22"/>
        </w:rPr>
      </w:pPr>
    </w:p>
    <w:p w14:paraId="1E32442B" w14:textId="27043419" w:rsidR="00CD02C2" w:rsidRPr="00CD02C2" w:rsidRDefault="00CD02C2" w:rsidP="00CD02C2">
      <w:pPr>
        <w:rPr>
          <w:b/>
          <w:bCs/>
          <w:sz w:val="22"/>
          <w:szCs w:val="22"/>
        </w:rPr>
      </w:pPr>
      <w:r w:rsidRPr="00CD02C2">
        <w:rPr>
          <w:b/>
          <w:bCs/>
          <w:sz w:val="22"/>
          <w:szCs w:val="22"/>
        </w:rPr>
        <w:t>Stort potensiale for biogass</w:t>
      </w:r>
    </w:p>
    <w:p w14:paraId="096DF3A0" w14:textId="77777777" w:rsidR="00CD02C2" w:rsidRPr="00CD02C2" w:rsidRDefault="00CD02C2" w:rsidP="00CD02C2">
      <w:pPr>
        <w:rPr>
          <w:sz w:val="22"/>
          <w:szCs w:val="22"/>
        </w:rPr>
      </w:pPr>
      <w:r w:rsidRPr="00CD02C2">
        <w:rPr>
          <w:sz w:val="22"/>
          <w:szCs w:val="22"/>
        </w:rPr>
        <w:t xml:space="preserve">En kartlegging som Energigass Norge har fått gjort, viser at det er nok råstoff til å produsere seks </w:t>
      </w:r>
      <w:proofErr w:type="spellStart"/>
      <w:r w:rsidRPr="00CD02C2">
        <w:rPr>
          <w:sz w:val="22"/>
          <w:szCs w:val="22"/>
        </w:rPr>
        <w:t>TWh</w:t>
      </w:r>
      <w:proofErr w:type="spellEnd"/>
      <w:r w:rsidRPr="00CD02C2">
        <w:rPr>
          <w:sz w:val="22"/>
          <w:szCs w:val="22"/>
        </w:rPr>
        <w:t xml:space="preserve"> biogass i Norge i dag, som er nok til å forsyne 15 000 trailere med drivstoff i ett år. Hvis havbruksnæringen når sine planer om vekst, og vi får tatt i bruk nye produksjonsmetoder for biogass, kan biogassproduksjonen dobles og tredobles.</w:t>
      </w:r>
    </w:p>
    <w:p w14:paraId="5A27F7F9" w14:textId="77777777" w:rsidR="00CD02C2" w:rsidRPr="00CD02C2" w:rsidRDefault="00CD02C2" w:rsidP="00CD02C2">
      <w:pPr>
        <w:rPr>
          <w:sz w:val="22"/>
          <w:szCs w:val="22"/>
        </w:rPr>
      </w:pPr>
    </w:p>
    <w:p w14:paraId="4A60E3CC" w14:textId="77777777" w:rsidR="00CD02C2" w:rsidRPr="00CD02C2" w:rsidRDefault="00CD02C2" w:rsidP="00CD02C2">
      <w:pPr>
        <w:rPr>
          <w:sz w:val="22"/>
          <w:szCs w:val="22"/>
        </w:rPr>
      </w:pPr>
      <w:r w:rsidRPr="00CD02C2">
        <w:rPr>
          <w:sz w:val="22"/>
          <w:szCs w:val="22"/>
        </w:rPr>
        <w:t xml:space="preserve">Produksjonen av biogass gir ikke bare gass. Reststoffet fra produksjonen kan brukes som gjødsel til ny matproduksjon, videreforedles til andre produkter og </w:t>
      </w:r>
      <w:proofErr w:type="spellStart"/>
      <w:r w:rsidRPr="00CD02C2">
        <w:rPr>
          <w:sz w:val="22"/>
          <w:szCs w:val="22"/>
        </w:rPr>
        <w:t>fór</w:t>
      </w:r>
      <w:proofErr w:type="spellEnd"/>
      <w:r w:rsidRPr="00CD02C2">
        <w:rPr>
          <w:sz w:val="22"/>
          <w:szCs w:val="22"/>
        </w:rPr>
        <w:t xml:space="preserve">, og gir mulighet for å gjenvinne viktige ressurser som fosfor og nitrogen. Fosfor er en begrenset ressurs, og Norge er storforbruker også av dette råstoffet til blant annet </w:t>
      </w:r>
      <w:proofErr w:type="spellStart"/>
      <w:r w:rsidRPr="00CD02C2">
        <w:rPr>
          <w:sz w:val="22"/>
          <w:szCs w:val="22"/>
        </w:rPr>
        <w:t>fiskefór</w:t>
      </w:r>
      <w:proofErr w:type="spellEnd"/>
      <w:r w:rsidRPr="00CD02C2">
        <w:rPr>
          <w:sz w:val="22"/>
          <w:szCs w:val="22"/>
        </w:rPr>
        <w:t xml:space="preserve">. Ved at vi ikke samler opp slammet, går halvparten av fosforet som tilsettes </w:t>
      </w:r>
      <w:proofErr w:type="spellStart"/>
      <w:r w:rsidRPr="00CD02C2">
        <w:rPr>
          <w:sz w:val="22"/>
          <w:szCs w:val="22"/>
        </w:rPr>
        <w:t>fiskefóret</w:t>
      </w:r>
      <w:proofErr w:type="spellEnd"/>
      <w:r w:rsidRPr="00CD02C2">
        <w:rPr>
          <w:sz w:val="22"/>
          <w:szCs w:val="22"/>
        </w:rPr>
        <w:t xml:space="preserve"> på havet og forsvinner for godt.</w:t>
      </w:r>
    </w:p>
    <w:p w14:paraId="020FE8DF" w14:textId="77777777" w:rsidR="00CD02C2" w:rsidRPr="00CD02C2" w:rsidRDefault="00CD02C2" w:rsidP="00CD02C2">
      <w:pPr>
        <w:rPr>
          <w:sz w:val="22"/>
          <w:szCs w:val="22"/>
        </w:rPr>
      </w:pPr>
    </w:p>
    <w:p w14:paraId="516D9334" w14:textId="77777777" w:rsidR="00CD02C2" w:rsidRDefault="00CD02C2" w:rsidP="00CD02C2">
      <w:pPr>
        <w:rPr>
          <w:b/>
          <w:bCs/>
          <w:sz w:val="22"/>
          <w:szCs w:val="22"/>
        </w:rPr>
      </w:pPr>
    </w:p>
    <w:p w14:paraId="044755A0" w14:textId="77777777" w:rsidR="00CD02C2" w:rsidRDefault="00CD02C2" w:rsidP="00CD02C2">
      <w:pPr>
        <w:rPr>
          <w:b/>
          <w:bCs/>
          <w:sz w:val="22"/>
          <w:szCs w:val="22"/>
        </w:rPr>
      </w:pPr>
    </w:p>
    <w:p w14:paraId="4B60DFE3" w14:textId="77777777" w:rsidR="00CD02C2" w:rsidRDefault="00CD02C2" w:rsidP="00CD02C2">
      <w:pPr>
        <w:rPr>
          <w:b/>
          <w:bCs/>
          <w:sz w:val="22"/>
          <w:szCs w:val="22"/>
        </w:rPr>
      </w:pPr>
    </w:p>
    <w:p w14:paraId="0031592D" w14:textId="20FAAA38" w:rsidR="00CD02C2" w:rsidRPr="00CD02C2" w:rsidRDefault="00CD02C2" w:rsidP="00CD02C2">
      <w:pPr>
        <w:rPr>
          <w:b/>
          <w:bCs/>
          <w:sz w:val="22"/>
          <w:szCs w:val="22"/>
        </w:rPr>
      </w:pPr>
      <w:r w:rsidRPr="00CD02C2">
        <w:rPr>
          <w:b/>
          <w:bCs/>
          <w:sz w:val="22"/>
          <w:szCs w:val="22"/>
        </w:rPr>
        <w:t>Viktig klimatiltak</w:t>
      </w:r>
    </w:p>
    <w:p w14:paraId="40A0595E" w14:textId="6C57D272" w:rsidR="00CD02C2" w:rsidRPr="00CD02C2" w:rsidRDefault="00CD02C2" w:rsidP="00CD02C2">
      <w:pPr>
        <w:rPr>
          <w:sz w:val="22"/>
          <w:szCs w:val="22"/>
        </w:rPr>
      </w:pPr>
      <w:r w:rsidRPr="00CD02C2">
        <w:rPr>
          <w:sz w:val="22"/>
          <w:szCs w:val="22"/>
        </w:rPr>
        <w:t xml:space="preserve">Biogass er også et viktig klimatiltak med klimagevinst i alle ledd. Hvis vi starter med å utløse biogasspotensialet i dag, og klarer å nå en produksjon på fem </w:t>
      </w:r>
      <w:proofErr w:type="spellStart"/>
      <w:r w:rsidRPr="00CD02C2">
        <w:rPr>
          <w:sz w:val="22"/>
          <w:szCs w:val="22"/>
        </w:rPr>
        <w:t>TWh</w:t>
      </w:r>
      <w:proofErr w:type="spellEnd"/>
      <w:r w:rsidRPr="00CD02C2">
        <w:rPr>
          <w:sz w:val="22"/>
          <w:szCs w:val="22"/>
        </w:rPr>
        <w:t xml:space="preserve"> i 2030, og all denne biogassen erstatter diesel, vil klimagevinsten bli større enn det en oppnår med å importere biodrivstoff i samme periode.</w:t>
      </w:r>
    </w:p>
    <w:p w14:paraId="62914A88" w14:textId="77777777" w:rsidR="00CD02C2" w:rsidRPr="00CD02C2" w:rsidRDefault="00CD02C2" w:rsidP="00CD02C2">
      <w:pPr>
        <w:rPr>
          <w:sz w:val="22"/>
          <w:szCs w:val="22"/>
        </w:rPr>
      </w:pPr>
    </w:p>
    <w:p w14:paraId="7AE52602" w14:textId="77777777" w:rsidR="00CD02C2" w:rsidRPr="00CD02C2" w:rsidRDefault="00CD02C2" w:rsidP="00CD02C2">
      <w:pPr>
        <w:rPr>
          <w:sz w:val="22"/>
          <w:szCs w:val="22"/>
        </w:rPr>
      </w:pPr>
      <w:r w:rsidRPr="00CD02C2">
        <w:rPr>
          <w:sz w:val="22"/>
          <w:szCs w:val="22"/>
        </w:rPr>
        <w:t xml:space="preserve">Det produseres i dag 0,7 </w:t>
      </w:r>
      <w:proofErr w:type="spellStart"/>
      <w:r w:rsidRPr="00CD02C2">
        <w:rPr>
          <w:sz w:val="22"/>
          <w:szCs w:val="22"/>
        </w:rPr>
        <w:t>TWh</w:t>
      </w:r>
      <w:proofErr w:type="spellEnd"/>
      <w:r w:rsidRPr="00CD02C2">
        <w:rPr>
          <w:sz w:val="22"/>
          <w:szCs w:val="22"/>
        </w:rPr>
        <w:t xml:space="preserve"> biogass i Norge, fordelt på vel femti anlegg. Det er så mange som 20 -30 nye anlegg under planlegging, basert på lokale avfallsressurser. Men uklare, politiske rammevilkår gjør at det er vanskelig å få investorene på banen og anleggene realisert. På tross av de mange planene, er det tre år siden det startet opp et nytt biogassanlegg.</w:t>
      </w:r>
    </w:p>
    <w:p w14:paraId="43F01C6D" w14:textId="77777777" w:rsidR="00CD02C2" w:rsidRPr="00CD02C2" w:rsidRDefault="00CD02C2" w:rsidP="00CD02C2">
      <w:pPr>
        <w:rPr>
          <w:sz w:val="22"/>
          <w:szCs w:val="22"/>
        </w:rPr>
      </w:pPr>
    </w:p>
    <w:p w14:paraId="6D935640" w14:textId="6D7F6B9E" w:rsidR="009C6AE6" w:rsidRPr="00CD02C2" w:rsidRDefault="00CD02C2" w:rsidP="00CD02C2">
      <w:pPr>
        <w:rPr>
          <w:sz w:val="22"/>
          <w:szCs w:val="22"/>
        </w:rPr>
      </w:pPr>
      <w:r w:rsidRPr="00CD02C2">
        <w:rPr>
          <w:sz w:val="22"/>
          <w:szCs w:val="22"/>
        </w:rPr>
        <w:t>I regjeringens grønne bok kan vi lese mange fine ord om biogass, men ved at en nå sier at en skal satse på importert biodrivstoff, undergraver en igjen satsingen på de norske biogass-ressursene.  Vi etterlyser derfor klare politiske signaler om en langsiktig og helhetlig satsing på biogass i Norge! På den måten blir vi en grønn industri- og energigigant - basert på våre egne naturressurser, og ikke bare andres.</w:t>
      </w:r>
    </w:p>
    <w:p w14:paraId="4860D394" w14:textId="77777777" w:rsidR="009C6AE6" w:rsidRDefault="009C6AE6" w:rsidP="009C6AE6"/>
    <w:p w14:paraId="45A1B832" w14:textId="77777777" w:rsidR="00D948AD" w:rsidRDefault="00D948AD"/>
    <w:p w14:paraId="6824316D" w14:textId="77777777" w:rsidR="00217D8B" w:rsidRPr="00217D8B" w:rsidRDefault="00217D8B" w:rsidP="00217D8B"/>
    <w:p w14:paraId="4F890594" w14:textId="77777777" w:rsidR="00217D8B" w:rsidRDefault="00217D8B" w:rsidP="00217D8B"/>
    <w:p w14:paraId="56A7D695" w14:textId="77777777" w:rsidR="00217D8B" w:rsidRPr="00217D8B" w:rsidRDefault="00217D8B" w:rsidP="00217D8B">
      <w:pPr>
        <w:tabs>
          <w:tab w:val="left" w:pos="2520"/>
        </w:tabs>
      </w:pPr>
      <w:r>
        <w:tab/>
      </w:r>
    </w:p>
    <w:sectPr w:rsidR="00217D8B" w:rsidRPr="00217D8B" w:rsidSect="00846C56">
      <w:headerReference w:type="default" r:id="rId11"/>
      <w:footerReference w:type="default" r:id="rId12"/>
      <w:pgSz w:w="11900" w:h="16840"/>
      <w:pgMar w:top="1418" w:right="907" w:bottom="79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01F4" w14:textId="77777777" w:rsidR="00437F2B" w:rsidRDefault="00437F2B" w:rsidP="00D948AD">
      <w:r>
        <w:separator/>
      </w:r>
    </w:p>
  </w:endnote>
  <w:endnote w:type="continuationSeparator" w:id="0">
    <w:p w14:paraId="71F060B5" w14:textId="77777777" w:rsidR="00437F2B" w:rsidRDefault="00437F2B" w:rsidP="00D94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5601D" w14:textId="313A5CBB" w:rsidR="00CD02C2" w:rsidRPr="00CD02C2" w:rsidRDefault="00796C8B" w:rsidP="00CD02C2">
    <w:pPr>
      <w:pStyle w:val="Bunntekst"/>
      <w:rPr>
        <w:rFonts w:ascii="Times New Roman" w:eastAsia="Times New Roman" w:hAnsi="Times New Roman" w:cs="Times New Roman"/>
        <w:sz w:val="20"/>
        <w:szCs w:val="20"/>
        <w:lang w:eastAsia="nb-NO"/>
      </w:rPr>
    </w:pPr>
    <w:r>
      <w:rPr>
        <w:rFonts w:ascii="Times New Roman" w:eastAsia="Times New Roman" w:hAnsi="Times New Roman" w:cs="Times New Roman"/>
        <w:noProof/>
        <w:sz w:val="20"/>
        <w:szCs w:val="20"/>
        <w:lang w:val="en-US" w:eastAsia="nb-NO"/>
      </w:rPr>
      <w:drawing>
        <wp:anchor distT="0" distB="0" distL="114300" distR="114300" simplePos="0" relativeHeight="251658240" behindDoc="1" locked="0" layoutInCell="1" allowOverlap="1" wp14:anchorId="6187BCC8" wp14:editId="2F62258A">
          <wp:simplePos x="0" y="0"/>
          <wp:positionH relativeFrom="column">
            <wp:posOffset>-1655445</wp:posOffset>
          </wp:positionH>
          <wp:positionV relativeFrom="paragraph">
            <wp:posOffset>-427990</wp:posOffset>
          </wp:positionV>
          <wp:extent cx="8674100" cy="1698625"/>
          <wp:effectExtent l="0" t="0" r="0" b="317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en navn-1.png"/>
                  <pic:cNvPicPr/>
                </pic:nvPicPr>
                <pic:blipFill>
                  <a:blip r:embed="rId1">
                    <a:extLst>
                      <a:ext uri="{28A0092B-C50C-407E-A947-70E740481C1C}">
                        <a14:useLocalDpi xmlns:a14="http://schemas.microsoft.com/office/drawing/2010/main" val="0"/>
                      </a:ext>
                    </a:extLst>
                  </a:blip>
                  <a:stretch>
                    <a:fillRect/>
                  </a:stretch>
                </pic:blipFill>
                <pic:spPr>
                  <a:xfrm>
                    <a:off x="0" y="0"/>
                    <a:ext cx="8674100" cy="1698625"/>
                  </a:xfrm>
                  <a:prstGeom prst="rect">
                    <a:avLst/>
                  </a:prstGeom>
                </pic:spPr>
              </pic:pic>
            </a:graphicData>
          </a:graphic>
          <wp14:sizeRelH relativeFrom="page">
            <wp14:pctWidth>0</wp14:pctWidth>
          </wp14:sizeRelH>
          <wp14:sizeRelV relativeFrom="page">
            <wp14:pctHeight>0</wp14:pctHeight>
          </wp14:sizeRelV>
        </wp:anchor>
      </w:drawing>
    </w:r>
  </w:p>
  <w:p w14:paraId="1C3CB503" w14:textId="45315A3A" w:rsidR="00217D8B" w:rsidRPr="00CD02C2" w:rsidRDefault="00217D8B" w:rsidP="00846C56">
    <w:pPr>
      <w:pStyle w:val="Bunntekst"/>
      <w:rPr>
        <w:rFonts w:ascii="Times New Roman" w:eastAsia="Times New Roman" w:hAnsi="Times New Roman" w:cs="Times New Roman"/>
        <w:sz w:val="20"/>
        <w:szCs w:val="20"/>
        <w:lang w:eastAsia="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4C9D" w14:textId="77777777" w:rsidR="00437F2B" w:rsidRDefault="00437F2B" w:rsidP="00D948AD">
      <w:r>
        <w:separator/>
      </w:r>
    </w:p>
  </w:footnote>
  <w:footnote w:type="continuationSeparator" w:id="0">
    <w:p w14:paraId="0D5BB837" w14:textId="77777777" w:rsidR="00437F2B" w:rsidRDefault="00437F2B" w:rsidP="00D94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0FD6" w14:textId="77777777" w:rsidR="00D948AD" w:rsidRDefault="00D948AD">
    <w:pPr>
      <w:pStyle w:val="Topptekst"/>
    </w:pPr>
  </w:p>
  <w:p w14:paraId="16D33A18" w14:textId="77777777" w:rsidR="00D948AD" w:rsidRDefault="00D948AD">
    <w:pPr>
      <w:pStyle w:val="Topptekst"/>
    </w:pPr>
    <w:r>
      <w:rPr>
        <w:noProof/>
      </w:rPr>
      <w:drawing>
        <wp:inline distT="0" distB="0" distL="0" distR="0" wp14:anchorId="26401CA9" wp14:editId="04984B27">
          <wp:extent cx="1282519" cy="559396"/>
          <wp:effectExtent l="0" t="0" r="63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GN_Positiv_CMYK.pdf"/>
                  <pic:cNvPicPr/>
                </pic:nvPicPr>
                <pic:blipFill>
                  <a:blip r:embed="rId1">
                    <a:extLst>
                      <a:ext uri="{28A0092B-C50C-407E-A947-70E740481C1C}">
                        <a14:useLocalDpi xmlns:a14="http://schemas.microsoft.com/office/drawing/2010/main" val="0"/>
                      </a:ext>
                    </a:extLst>
                  </a:blip>
                  <a:stretch>
                    <a:fillRect/>
                  </a:stretch>
                </pic:blipFill>
                <pic:spPr>
                  <a:xfrm>
                    <a:off x="0" y="0"/>
                    <a:ext cx="1282519" cy="559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A1FDF"/>
    <w:multiLevelType w:val="hybridMultilevel"/>
    <w:tmpl w:val="551CAC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908540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C2"/>
    <w:rsid w:val="00064935"/>
    <w:rsid w:val="000E486E"/>
    <w:rsid w:val="00153614"/>
    <w:rsid w:val="0018692D"/>
    <w:rsid w:val="00217D8B"/>
    <w:rsid w:val="002D5969"/>
    <w:rsid w:val="00304DFF"/>
    <w:rsid w:val="0033165B"/>
    <w:rsid w:val="00437F2B"/>
    <w:rsid w:val="00446A60"/>
    <w:rsid w:val="005C5968"/>
    <w:rsid w:val="005D49AD"/>
    <w:rsid w:val="00603A8A"/>
    <w:rsid w:val="006326E2"/>
    <w:rsid w:val="006E4369"/>
    <w:rsid w:val="00796C8B"/>
    <w:rsid w:val="007B3636"/>
    <w:rsid w:val="007C2921"/>
    <w:rsid w:val="007E1951"/>
    <w:rsid w:val="007E5060"/>
    <w:rsid w:val="007F4FA0"/>
    <w:rsid w:val="00846C56"/>
    <w:rsid w:val="009314B4"/>
    <w:rsid w:val="009C6AE6"/>
    <w:rsid w:val="00A10AA6"/>
    <w:rsid w:val="00A95679"/>
    <w:rsid w:val="00BB06CF"/>
    <w:rsid w:val="00C34333"/>
    <w:rsid w:val="00CD02C2"/>
    <w:rsid w:val="00D26BED"/>
    <w:rsid w:val="00D56BF1"/>
    <w:rsid w:val="00D87D27"/>
    <w:rsid w:val="00D948AD"/>
    <w:rsid w:val="00DB6929"/>
    <w:rsid w:val="00DC5DB0"/>
    <w:rsid w:val="00ED724B"/>
    <w:rsid w:val="00FA35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E2350"/>
  <w15:chartTrackingRefBased/>
  <w15:docId w15:val="{D93E0206-4C26-4D42-9644-063F41E45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948AD"/>
    <w:pPr>
      <w:tabs>
        <w:tab w:val="center" w:pos="4536"/>
        <w:tab w:val="right" w:pos="9072"/>
      </w:tabs>
    </w:pPr>
  </w:style>
  <w:style w:type="character" w:customStyle="1" w:styleId="TopptekstTegn">
    <w:name w:val="Topptekst Tegn"/>
    <w:basedOn w:val="Standardskriftforavsnitt"/>
    <w:link w:val="Topptekst"/>
    <w:uiPriority w:val="99"/>
    <w:rsid w:val="00D948AD"/>
  </w:style>
  <w:style w:type="paragraph" w:styleId="Bunntekst">
    <w:name w:val="footer"/>
    <w:basedOn w:val="Normal"/>
    <w:link w:val="BunntekstTegn"/>
    <w:uiPriority w:val="99"/>
    <w:unhideWhenUsed/>
    <w:rsid w:val="00D948AD"/>
    <w:pPr>
      <w:tabs>
        <w:tab w:val="center" w:pos="4536"/>
        <w:tab w:val="right" w:pos="9072"/>
      </w:tabs>
    </w:pPr>
  </w:style>
  <w:style w:type="character" w:customStyle="1" w:styleId="BunntekstTegn">
    <w:name w:val="Bunntekst Tegn"/>
    <w:basedOn w:val="Standardskriftforavsnitt"/>
    <w:link w:val="Bunntekst"/>
    <w:uiPriority w:val="99"/>
    <w:rsid w:val="00D948AD"/>
  </w:style>
  <w:style w:type="paragraph" w:styleId="Bobletekst">
    <w:name w:val="Balloon Text"/>
    <w:basedOn w:val="Normal"/>
    <w:link w:val="BobletekstTegn"/>
    <w:uiPriority w:val="99"/>
    <w:semiHidden/>
    <w:unhideWhenUsed/>
    <w:rsid w:val="00D948AD"/>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D948AD"/>
    <w:rPr>
      <w:rFonts w:ascii="Times New Roman" w:hAnsi="Times New Roman" w:cs="Times New Roman"/>
      <w:sz w:val="18"/>
      <w:szCs w:val="18"/>
    </w:rPr>
  </w:style>
  <w:style w:type="paragraph" w:styleId="Listeavsnitt">
    <w:name w:val="List Paragraph"/>
    <w:basedOn w:val="Normal"/>
    <w:uiPriority w:val="34"/>
    <w:qFormat/>
    <w:rsid w:val="009C6AE6"/>
    <w:pPr>
      <w:ind w:left="720"/>
      <w:contextualSpacing/>
    </w:pPr>
  </w:style>
  <w:style w:type="character" w:styleId="Hyperkobling">
    <w:name w:val="Hyperlink"/>
    <w:basedOn w:val="Standardskriftforavsnitt"/>
    <w:uiPriority w:val="99"/>
    <w:unhideWhenUsed/>
    <w:rsid w:val="00D87D27"/>
    <w:rPr>
      <w:color w:val="0563C1" w:themeColor="hyperlink"/>
      <w:u w:val="single"/>
    </w:rPr>
  </w:style>
  <w:style w:type="character" w:styleId="Ulstomtale">
    <w:name w:val="Unresolved Mention"/>
    <w:basedOn w:val="Standardskriftforavsnitt"/>
    <w:uiPriority w:val="99"/>
    <w:semiHidden/>
    <w:unhideWhenUsed/>
    <w:rsid w:val="00D87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827415">
      <w:bodyDiv w:val="1"/>
      <w:marLeft w:val="0"/>
      <w:marRight w:val="0"/>
      <w:marTop w:val="0"/>
      <w:marBottom w:val="0"/>
      <w:divBdr>
        <w:top w:val="none" w:sz="0" w:space="0" w:color="auto"/>
        <w:left w:val="none" w:sz="0" w:space="0" w:color="auto"/>
        <w:bottom w:val="none" w:sz="0" w:space="0" w:color="auto"/>
        <w:right w:val="none" w:sz="0" w:space="0" w:color="auto"/>
      </w:divBdr>
    </w:div>
    <w:div w:id="124664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nne\OneDrive%20-%20Energigass%20Norge\EGN\Kommunikasjon\1Grafisk%20profil\Maler%20dok\Brevark_mal_Energigass_Norge_logo_farg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78695B7D4043418592504BBD8F87EB" ma:contentTypeVersion="5" ma:contentTypeDescription="Opprett et nytt dokument." ma:contentTypeScope="" ma:versionID="f20bcc3f7b02e9d62daf4e541438056d">
  <xsd:schema xmlns:xsd="http://www.w3.org/2001/XMLSchema" xmlns:xs="http://www.w3.org/2001/XMLSchema" xmlns:p="http://schemas.microsoft.com/office/2006/metadata/properties" xmlns:ns2="feb7a508-6482-431b-8549-5ba9689fbc9c" targetNamespace="http://schemas.microsoft.com/office/2006/metadata/properties" ma:root="true" ma:fieldsID="1b88da9a659aec230a90ecde09e04cbc" ns2:_="">
    <xsd:import namespace="feb7a508-6482-431b-8549-5ba9689fbc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7a508-6482-431b-8549-5ba9689f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8A0CC-1C0E-4B37-93F1-811FCA3BD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5B4107-70E6-4453-848A-5CEF73F1ABA5}">
  <ds:schemaRefs>
    <ds:schemaRef ds:uri="http://schemas.microsoft.com/sharepoint/v3/contenttype/forms"/>
  </ds:schemaRefs>
</ds:datastoreItem>
</file>

<file path=customXml/itemProps3.xml><?xml version="1.0" encoding="utf-8"?>
<ds:datastoreItem xmlns:ds="http://schemas.openxmlformats.org/officeDocument/2006/customXml" ds:itemID="{002513AD-C21E-4851-B3DB-7580292DB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7a508-6482-431b-8549-5ba9689fb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DDF661-3634-BD43-9057-ED5F9844B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Brevark_mal_Energigass_Norge_logo_farge</Template>
  <TotalTime>736</TotalTime>
  <Pages>2</Pages>
  <Words>733</Words>
  <Characters>3885</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c:creator>
  <cp:keywords/>
  <dc:description/>
  <cp:lastModifiedBy>Kenneth Warvik</cp:lastModifiedBy>
  <cp:revision>2</cp:revision>
  <cp:lastPrinted>2019-03-14T12:43:00Z</cp:lastPrinted>
  <dcterms:created xsi:type="dcterms:W3CDTF">2023-11-01T20:04:00Z</dcterms:created>
  <dcterms:modified xsi:type="dcterms:W3CDTF">2023-11-02T15:01:00Z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6</vt:lpwstr>
  </property>
  <property fmtid="{D5CDD505-2E9C-101B-9397-08002B2CF9AE}" pid="3" name="ContentTypeId">
    <vt:lpwstr>0x0101001F78695B7D4043418592504BBD8F87EB</vt:lpwstr>
  </property>
</Properties>
</file>